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0" w:lineRule="auto"/>
        <w:rPr>
          <w:rFonts w:ascii="Arial" w:cs="Arial" w:eastAsia="Arial" w:hAnsi="Arial"/>
          <w:sz w:val="36"/>
          <w:szCs w:val="36"/>
          <w:vertAlign w:val="baseline"/>
        </w:rPr>
      </w:pPr>
      <w:bookmarkStart w:colFirst="0" w:colLast="0" w:name="_ceum9ssfe16c" w:id="0"/>
      <w:bookmarkEnd w:id="0"/>
      <w:r w:rsidDel="00000000" w:rsidR="00000000" w:rsidRPr="00000000">
        <w:rPr>
          <w:rFonts w:ascii="Arial" w:cs="Arial" w:eastAsia="Arial" w:hAnsi="Arial"/>
          <w:sz w:val="36"/>
          <w:szCs w:val="36"/>
          <w:rtl w:val="0"/>
        </w:rPr>
        <w:t xml:space="preserve">UCC </w:t>
      </w:r>
      <w:r w:rsidDel="00000000" w:rsidR="00000000" w:rsidRPr="00000000">
        <w:rPr>
          <w:rFonts w:ascii="Arial" w:cs="Arial" w:eastAsia="Arial" w:hAnsi="Arial"/>
          <w:sz w:val="36"/>
          <w:szCs w:val="36"/>
          <w:vertAlign w:val="baseline"/>
          <w:rtl w:val="0"/>
        </w:rPr>
        <w:t xml:space="preserve">Investment Policy</w:t>
      </w:r>
    </w:p>
    <w:p w:rsidR="00000000" w:rsidDel="00000000" w:rsidP="00000000" w:rsidRDefault="00000000" w:rsidRPr="00000000" w14:paraId="00000002">
      <w:pPr>
        <w:spacing w:after="0" w:lineRule="auto"/>
        <w:ind w:left="1440" w:firstLine="720"/>
        <w:jc w:val="both"/>
        <w:rPr>
          <w:rFonts w:ascii="Arial" w:cs="Arial" w:eastAsia="Arial" w:hAnsi="Arial"/>
          <w:b w:val="0"/>
          <w:sz w:val="28"/>
          <w:szCs w:val="28"/>
          <w:u w:val="single"/>
          <w:vertAlign w:val="baseline"/>
        </w:rPr>
      </w:pPr>
      <w:r w:rsidDel="00000000" w:rsidR="00000000" w:rsidRPr="00000000">
        <w:rPr>
          <w:rtl w:val="0"/>
        </w:rPr>
      </w:r>
    </w:p>
    <w:p w:rsidR="00000000" w:rsidDel="00000000" w:rsidP="00000000" w:rsidRDefault="00000000" w:rsidRPr="00000000" w14:paraId="00000003">
      <w:pPr>
        <w:rPr>
          <w:rFonts w:ascii="Calibri" w:cs="Calibri" w:eastAsia="Calibri" w:hAnsi="Calibri"/>
          <w:vertAlign w:val="baseline"/>
        </w:rPr>
      </w:pPr>
      <w:r w:rsidDel="00000000" w:rsidR="00000000" w:rsidRPr="00000000">
        <w:rPr>
          <w:rFonts w:ascii="Calibri" w:cs="Calibri" w:eastAsia="Calibri" w:hAnsi="Calibri"/>
          <w:rtl w:val="0"/>
        </w:rPr>
        <w:t xml:space="preserve">UCC</w:t>
      </w:r>
      <w:r w:rsidDel="00000000" w:rsidR="00000000" w:rsidRPr="00000000">
        <w:rPr>
          <w:rFonts w:ascii="Calibri" w:cs="Calibri" w:eastAsia="Calibri" w:hAnsi="Calibri"/>
          <w:vertAlign w:val="baseline"/>
          <w:rtl w:val="0"/>
        </w:rPr>
        <w:t xml:space="preserve"> is a registered charity which holds assets for long term investment to support current and future expenditure.  </w:t>
      </w:r>
      <w:r w:rsidDel="00000000" w:rsidR="00000000" w:rsidRPr="00000000">
        <w:rPr>
          <w:rFonts w:ascii="Calibri" w:cs="Calibri" w:eastAsia="Calibri" w:hAnsi="Calibri"/>
          <w:rtl w:val="0"/>
        </w:rPr>
        <w:t xml:space="preserve">UCC</w:t>
      </w:r>
      <w:r w:rsidDel="00000000" w:rsidR="00000000" w:rsidRPr="00000000">
        <w:rPr>
          <w:rFonts w:ascii="Calibri" w:cs="Calibri" w:eastAsia="Calibri" w:hAnsi="Calibri"/>
          <w:vertAlign w:val="baseline"/>
          <w:rtl w:val="0"/>
        </w:rPr>
        <w:t xml:space="preserve"> may invest in securities and in real property. The trustees are responsible for all investments and delegate the oversight to the Resources Sub-Committee and daily management to the appointed fund managers an</w:t>
      </w:r>
      <w:r w:rsidDel="00000000" w:rsidR="00000000" w:rsidRPr="00000000">
        <w:rPr>
          <w:rFonts w:ascii="Calibri" w:cs="Calibri" w:eastAsia="Calibri" w:hAnsi="Calibri"/>
          <w:rtl w:val="0"/>
        </w:rPr>
        <w:t xml:space="preserve">d estate agents</w:t>
      </w:r>
      <w:r w:rsidDel="00000000" w:rsidR="00000000" w:rsidRPr="00000000">
        <w:rPr>
          <w:rFonts w:ascii="Calibri" w:cs="Calibri" w:eastAsia="Calibri" w:hAnsi="Calibri"/>
          <w:vertAlign w:val="baseline"/>
          <w:rtl w:val="0"/>
        </w:rPr>
        <w:t xml:space="preserve">.</w:t>
      </w:r>
    </w:p>
    <w:p w:rsidR="00000000" w:rsidDel="00000000" w:rsidP="00000000" w:rsidRDefault="00000000" w:rsidRPr="00000000" w14:paraId="00000004">
      <w:pPr>
        <w:rPr>
          <w:rFonts w:ascii="Calibri" w:cs="Calibri" w:eastAsia="Calibri" w:hAnsi="Calibri"/>
          <w:vertAlign w:val="baseline"/>
        </w:rPr>
      </w:pPr>
      <w:r w:rsidDel="00000000" w:rsidR="00000000" w:rsidRPr="00000000">
        <w:rPr>
          <w:rFonts w:ascii="Calibri" w:cs="Calibri" w:eastAsia="Calibri" w:hAnsi="Calibri"/>
          <w:rtl w:val="0"/>
        </w:rPr>
        <w:t xml:space="preserve">UCC</w:t>
      </w:r>
      <w:r w:rsidDel="00000000" w:rsidR="00000000" w:rsidRPr="00000000">
        <w:rPr>
          <w:rFonts w:ascii="Calibri" w:cs="Calibri" w:eastAsia="Calibri" w:hAnsi="Calibri"/>
          <w:vertAlign w:val="baseline"/>
          <w:rtl w:val="0"/>
        </w:rPr>
        <w:t xml:space="preserve"> manages its investments in securities and where relevant, property, to produce the highest return consistent with the preservation of capital value in real terms for the long term and given the associated risks.  </w:t>
      </w:r>
    </w:p>
    <w:p w:rsidR="00000000" w:rsidDel="00000000" w:rsidP="00000000" w:rsidRDefault="00000000" w:rsidRPr="00000000" w14:paraId="00000005">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06">
      <w:pPr>
        <w:rPr>
          <w:rFonts w:ascii="Calibri" w:cs="Calibri" w:eastAsia="Calibri" w:hAnsi="Calibri"/>
          <w:b w:val="1"/>
          <w:vertAlign w:val="baseline"/>
        </w:rPr>
      </w:pPr>
      <w:r w:rsidDel="00000000" w:rsidR="00000000" w:rsidRPr="00000000">
        <w:rPr>
          <w:rFonts w:ascii="Calibri" w:cs="Calibri" w:eastAsia="Calibri" w:hAnsi="Calibri"/>
          <w:b w:val="1"/>
          <w:vertAlign w:val="baseline"/>
          <w:rtl w:val="0"/>
        </w:rPr>
        <w:t xml:space="preserve">Objectives</w:t>
      </w:r>
    </w:p>
    <w:p w:rsidR="00000000" w:rsidDel="00000000" w:rsidP="00000000" w:rsidRDefault="00000000" w:rsidRPr="00000000" w14:paraId="00000007">
      <w:pPr>
        <w:rPr>
          <w:rFonts w:ascii="Calibri" w:cs="Calibri" w:eastAsia="Calibri" w:hAnsi="Calibri"/>
          <w:vertAlign w:val="baseline"/>
        </w:rPr>
      </w:pPr>
      <w:r w:rsidDel="00000000" w:rsidR="00000000" w:rsidRPr="00000000">
        <w:rPr>
          <w:rFonts w:ascii="Calibri" w:cs="Calibri" w:eastAsia="Calibri" w:hAnsi="Calibri"/>
          <w:rtl w:val="0"/>
        </w:rPr>
        <w:t xml:space="preserve">UCC</w:t>
      </w:r>
      <w:r w:rsidDel="00000000" w:rsidR="00000000" w:rsidRPr="00000000">
        <w:rPr>
          <w:rFonts w:ascii="Calibri" w:cs="Calibri" w:eastAsia="Calibri" w:hAnsi="Calibri"/>
          <w:vertAlign w:val="baseline"/>
          <w:rtl w:val="0"/>
        </w:rPr>
        <w:t xml:space="preserve"> has a securities portfolio with the following financial objectives:</w:t>
      </w:r>
    </w:p>
    <w:p w:rsidR="00000000" w:rsidDel="00000000" w:rsidP="00000000" w:rsidRDefault="00000000" w:rsidRPr="00000000" w14:paraId="00000008">
      <w:pPr>
        <w:numPr>
          <w:ilvl w:val="0"/>
          <w:numId w:val="2"/>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The overall investment objective is to produce best financial return with an acceptable level of risk. </w:t>
      </w:r>
    </w:p>
    <w:p w:rsidR="00000000" w:rsidDel="00000000" w:rsidP="00000000" w:rsidRDefault="00000000" w:rsidRPr="00000000" w14:paraId="00000009">
      <w:pPr>
        <w:numPr>
          <w:ilvl w:val="0"/>
          <w:numId w:val="2"/>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In the case of general funds the objective is to produce an income flow while minimising the risk of capital losses. </w:t>
      </w:r>
    </w:p>
    <w:p w:rsidR="00000000" w:rsidDel="00000000" w:rsidP="00000000" w:rsidRDefault="00000000" w:rsidRPr="00000000" w14:paraId="0000000A">
      <w:pPr>
        <w:numPr>
          <w:ilvl w:val="0"/>
          <w:numId w:val="2"/>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In the case of the Cyclical Maintenance Fund (CMF) the objective is to maintain a risk free sum to enable regular maintenance (such as replacement of kitchens and bathrooms) to be undertaken as they become due.</w:t>
      </w:r>
    </w:p>
    <w:p w:rsidR="00000000" w:rsidDel="00000000" w:rsidP="00000000" w:rsidRDefault="00000000" w:rsidRPr="00000000" w14:paraId="0000000B">
      <w:pPr>
        <w:numPr>
          <w:ilvl w:val="0"/>
          <w:numId w:val="2"/>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In the case of the Extraordinary Repair Fund (ERF) the aim is to maximise capital growth including re-investment of income and is used for major future expenditure.</w:t>
      </w:r>
    </w:p>
    <w:p w:rsidR="00000000" w:rsidDel="00000000" w:rsidP="00000000" w:rsidRDefault="00000000" w:rsidRPr="00000000" w14:paraId="0000000C">
      <w:pPr>
        <w:numPr>
          <w:ilvl w:val="0"/>
          <w:numId w:val="2"/>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Investments are generally held for the long term however trustees should ensure that their ability to meet future planned expenditure is not compromised by holding long term investments rather than short term investments.</w:t>
      </w:r>
    </w:p>
    <w:p w:rsidR="00000000" w:rsidDel="00000000" w:rsidP="00000000" w:rsidRDefault="00000000" w:rsidRPr="00000000" w14:paraId="0000000D">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Specifically, that</w:t>
      </w:r>
      <w:r w:rsidDel="00000000" w:rsidR="00000000" w:rsidRPr="00000000">
        <w:rPr>
          <w:rFonts w:ascii="Calibri" w:cs="Calibri" w:eastAsia="Calibri" w:hAnsi="Calibri"/>
          <w:vertAlign w:val="baseline"/>
          <w:rtl w:val="0"/>
        </w:rPr>
        <w:t xml:space="preserve"> a target yield of 3% to 4% on the value of the capital and that the value of the capital increases in line with inflation (measured by RPI). In other words, a total return of </w:t>
      </w:r>
      <w:r w:rsidDel="00000000" w:rsidR="00000000" w:rsidRPr="00000000">
        <w:rPr>
          <w:rFonts w:ascii="Calibri" w:cs="Calibri" w:eastAsia="Calibri" w:hAnsi="Calibri"/>
          <w:rtl w:val="0"/>
        </w:rPr>
        <w:t xml:space="preserve">inflation plus 3% to 4% over a cycle.</w:t>
      </w:r>
      <w:r w:rsidDel="00000000" w:rsidR="00000000" w:rsidRPr="00000000">
        <w:rPr>
          <w:rtl w:val="0"/>
        </w:rPr>
      </w:r>
    </w:p>
    <w:p w:rsidR="00000000" w:rsidDel="00000000" w:rsidP="00000000" w:rsidRDefault="00000000" w:rsidRPr="00000000" w14:paraId="0000000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0F">
      <w:pPr>
        <w:rPr>
          <w:rFonts w:ascii="Calibri" w:cs="Calibri" w:eastAsia="Calibri" w:hAnsi="Calibri"/>
          <w:b w:val="1"/>
          <w:vertAlign w:val="baseline"/>
        </w:rPr>
      </w:pPr>
      <w:r w:rsidDel="00000000" w:rsidR="00000000" w:rsidRPr="00000000">
        <w:rPr>
          <w:rFonts w:ascii="Calibri" w:cs="Calibri" w:eastAsia="Calibri" w:hAnsi="Calibri"/>
          <w:b w:val="1"/>
          <w:vertAlign w:val="baseline"/>
          <w:rtl w:val="0"/>
        </w:rPr>
        <w:t xml:space="preserve">Risk and Diversification</w:t>
      </w:r>
    </w:p>
    <w:p w:rsidR="00000000" w:rsidDel="00000000" w:rsidP="00000000" w:rsidRDefault="00000000" w:rsidRPr="00000000" w14:paraId="00000010">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As a charity the </w:t>
      </w:r>
      <w:r w:rsidDel="00000000" w:rsidR="00000000" w:rsidRPr="00000000">
        <w:rPr>
          <w:rFonts w:ascii="Calibri" w:cs="Calibri" w:eastAsia="Calibri" w:hAnsi="Calibri"/>
          <w:rtl w:val="0"/>
        </w:rPr>
        <w:t xml:space="preserve">UCC</w:t>
      </w:r>
      <w:r w:rsidDel="00000000" w:rsidR="00000000" w:rsidRPr="00000000">
        <w:rPr>
          <w:rFonts w:ascii="Calibri" w:cs="Calibri" w:eastAsia="Calibri" w:hAnsi="Calibri"/>
          <w:vertAlign w:val="baseline"/>
          <w:rtl w:val="0"/>
        </w:rPr>
        <w:t xml:space="preserve"> aims as a fundamental principle to maximise its total return but it also has regard to the suitability and diversification of its investments. Investment risk relates to the under-performance of a particular investment and ultimately is measured by the ability to meet the investment objectives. The trustees are concerned with the impact of a significant decline in the real value of the investments. The investment strategy is actively to take on risk by holding investments which are expected to give a higher total return over the long term when compared to risk-free assets.  The asset allocation of the securities portfolio can be characterised as being of medium risk exposure. </w:t>
      </w:r>
      <w:r w:rsidDel="00000000" w:rsidR="00000000" w:rsidRPr="00000000">
        <w:rPr>
          <w:rFonts w:ascii="Calibri" w:cs="Calibri" w:eastAsia="Calibri" w:hAnsi="Calibri"/>
          <w:rtl w:val="0"/>
        </w:rPr>
        <w:t xml:space="preserve">UCC</w:t>
      </w:r>
      <w:r w:rsidDel="00000000" w:rsidR="00000000" w:rsidRPr="00000000">
        <w:rPr>
          <w:rFonts w:ascii="Calibri" w:cs="Calibri" w:eastAsia="Calibri" w:hAnsi="Calibri"/>
          <w:vertAlign w:val="baseline"/>
          <w:rtl w:val="0"/>
        </w:rPr>
        <w:t xml:space="preserve"> invests in asset classes which have differing characteristics in order to </w:t>
      </w:r>
      <w:r w:rsidDel="00000000" w:rsidR="00000000" w:rsidRPr="00000000">
        <w:rPr>
          <w:rFonts w:ascii="Calibri" w:cs="Calibri" w:eastAsia="Calibri" w:hAnsi="Calibri"/>
          <w:rtl w:val="0"/>
        </w:rPr>
        <w:t xml:space="preserve">diversify</w:t>
      </w:r>
      <w:r w:rsidDel="00000000" w:rsidR="00000000" w:rsidRPr="00000000">
        <w:rPr>
          <w:rFonts w:ascii="Calibri" w:cs="Calibri" w:eastAsia="Calibri" w:hAnsi="Calibri"/>
          <w:vertAlign w:val="baseline"/>
          <w:rtl w:val="0"/>
        </w:rPr>
        <w:t xml:space="preserve"> its overall investments and so reduce the risk.    </w:t>
      </w:r>
    </w:p>
    <w:p w:rsidR="00000000" w:rsidDel="00000000" w:rsidP="00000000" w:rsidRDefault="00000000" w:rsidRPr="00000000" w14:paraId="00000011">
      <w:pPr>
        <w:rPr>
          <w:rFonts w:ascii="Calibri" w:cs="Calibri" w:eastAsia="Calibri" w:hAnsi="Calibri"/>
        </w:rPr>
      </w:pPr>
      <w:r w:rsidDel="00000000" w:rsidR="00000000" w:rsidRPr="00000000">
        <w:rPr>
          <w:rtl w:val="0"/>
        </w:rPr>
      </w:r>
    </w:p>
    <w:p w:rsidR="00000000" w:rsidDel="00000000" w:rsidP="00000000" w:rsidRDefault="00000000" w:rsidRPr="00000000" w14:paraId="00000012">
      <w:pPr>
        <w:rPr>
          <w:rFonts w:ascii="Calibri" w:cs="Calibri" w:eastAsia="Calibri" w:hAnsi="Calibri"/>
          <w:b w:val="1"/>
        </w:rPr>
      </w:pPr>
      <w:r w:rsidDel="00000000" w:rsidR="00000000" w:rsidRPr="00000000">
        <w:rPr>
          <w:rFonts w:ascii="Calibri" w:cs="Calibri" w:eastAsia="Calibri" w:hAnsi="Calibri"/>
          <w:b w:val="1"/>
          <w:rtl w:val="0"/>
        </w:rPr>
        <w:t xml:space="preserve">Ethical Considerations</w:t>
      </w:r>
    </w:p>
    <w:p w:rsidR="00000000" w:rsidDel="00000000" w:rsidP="00000000" w:rsidRDefault="00000000" w:rsidRPr="00000000" w14:paraId="00000013">
      <w:pPr>
        <w:rPr>
          <w:rFonts w:ascii="Calibri" w:cs="Calibri" w:eastAsia="Calibri" w:hAnsi="Calibri"/>
        </w:rPr>
      </w:pPr>
      <w:r w:rsidDel="00000000" w:rsidR="00000000" w:rsidRPr="00000000">
        <w:rPr>
          <w:rFonts w:ascii="Calibri" w:cs="Calibri" w:eastAsia="Calibri" w:hAnsi="Calibri"/>
          <w:rtl w:val="0"/>
        </w:rPr>
        <w:t xml:space="preserve">Though not a criterion in selecting its fund manager nor defining its investment policy, the Board of Trustees do take into consideration of the following aspects:</w:t>
      </w:r>
      <w:r w:rsidDel="00000000" w:rsidR="00000000" w:rsidRPr="00000000">
        <w:rPr>
          <w:rtl w:val="0"/>
        </w:rPr>
      </w:r>
    </w:p>
    <w:p w:rsidR="00000000" w:rsidDel="00000000" w:rsidP="00000000" w:rsidRDefault="00000000" w:rsidRPr="00000000" w14:paraId="00000014">
      <w:pPr>
        <w:numPr>
          <w:ilvl w:val="0"/>
          <w:numId w:val="1"/>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environmentally polluting</w:t>
      </w:r>
    </w:p>
    <w:p w:rsidR="00000000" w:rsidDel="00000000" w:rsidP="00000000" w:rsidRDefault="00000000" w:rsidRPr="00000000" w14:paraId="00000015">
      <w:pPr>
        <w:numPr>
          <w:ilvl w:val="0"/>
          <w:numId w:val="1"/>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the tobacco industry</w:t>
      </w:r>
    </w:p>
    <w:p w:rsidR="00000000" w:rsidDel="00000000" w:rsidP="00000000" w:rsidRDefault="00000000" w:rsidRPr="00000000" w14:paraId="00000016">
      <w:pPr>
        <w:numPr>
          <w:ilvl w:val="0"/>
          <w:numId w:val="1"/>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armaments</w:t>
      </w:r>
    </w:p>
    <w:p w:rsidR="00000000" w:rsidDel="00000000" w:rsidP="00000000" w:rsidRDefault="00000000" w:rsidRPr="00000000" w14:paraId="00000017">
      <w:pPr>
        <w:numPr>
          <w:ilvl w:val="0"/>
          <w:numId w:val="1"/>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gambling</w:t>
      </w:r>
    </w:p>
    <w:p w:rsidR="00000000" w:rsidDel="00000000" w:rsidP="00000000" w:rsidRDefault="00000000" w:rsidRPr="00000000" w14:paraId="00000018">
      <w:pPr>
        <w:numPr>
          <w:ilvl w:val="0"/>
          <w:numId w:val="1"/>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pornography</w:t>
      </w:r>
    </w:p>
    <w:p w:rsidR="00000000" w:rsidDel="00000000" w:rsidP="00000000" w:rsidRDefault="00000000" w:rsidRPr="00000000" w14:paraId="00000019">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enterprises that do not encourage equality and diversity</w:t>
      </w:r>
    </w:p>
    <w:p w:rsidR="00000000" w:rsidDel="00000000" w:rsidP="00000000" w:rsidRDefault="00000000" w:rsidRPr="00000000" w14:paraId="0000001A">
      <w:pPr>
        <w:rPr>
          <w:rFonts w:ascii="Calibri" w:cs="Calibri" w:eastAsia="Calibri" w:hAnsi="Calibri"/>
        </w:rPr>
      </w:pPr>
      <w:r w:rsidDel="00000000" w:rsidR="00000000" w:rsidRPr="00000000">
        <w:rPr>
          <w:rtl w:val="0"/>
        </w:rPr>
      </w:r>
    </w:p>
    <w:p w:rsidR="00000000" w:rsidDel="00000000" w:rsidP="00000000" w:rsidRDefault="00000000" w:rsidRPr="00000000" w14:paraId="0000001B">
      <w:pPr>
        <w:rPr>
          <w:rFonts w:ascii="Calibri" w:cs="Calibri" w:eastAsia="Calibri" w:hAnsi="Calibri"/>
          <w:b w:val="1"/>
          <w:vertAlign w:val="baseline"/>
        </w:rPr>
      </w:pPr>
      <w:r w:rsidDel="00000000" w:rsidR="00000000" w:rsidRPr="00000000">
        <w:rPr>
          <w:rFonts w:ascii="Calibri" w:cs="Calibri" w:eastAsia="Calibri" w:hAnsi="Calibri"/>
          <w:b w:val="1"/>
          <w:vertAlign w:val="baseline"/>
          <w:rtl w:val="0"/>
        </w:rPr>
        <w:t xml:space="preserve">Fund Manager</w:t>
      </w:r>
    </w:p>
    <w:p w:rsidR="00000000" w:rsidDel="00000000" w:rsidP="00000000" w:rsidRDefault="00000000" w:rsidRPr="00000000" w14:paraId="0000001C">
      <w:pPr>
        <w:rPr>
          <w:rFonts w:ascii="Calibri" w:cs="Calibri" w:eastAsia="Calibri" w:hAnsi="Calibri"/>
          <w:vertAlign w:val="baseline"/>
        </w:rPr>
      </w:pPr>
      <w:r w:rsidDel="00000000" w:rsidR="00000000" w:rsidRPr="00000000">
        <w:rPr>
          <w:rFonts w:ascii="Calibri" w:cs="Calibri" w:eastAsia="Calibri" w:hAnsi="Calibri"/>
          <w:rtl w:val="0"/>
        </w:rPr>
        <w:t xml:space="preserve">UCC has a written legal agreement with its appointed fund manager. </w:t>
      </w:r>
      <w:r w:rsidDel="00000000" w:rsidR="00000000" w:rsidRPr="00000000">
        <w:rPr>
          <w:rFonts w:ascii="Calibri" w:cs="Calibri" w:eastAsia="Calibri" w:hAnsi="Calibri"/>
          <w:vertAlign w:val="baseline"/>
          <w:rtl w:val="0"/>
        </w:rPr>
        <w:t xml:space="preserve">The fund manager for the portfolio has a discretionary mandate to maximise return in accordance with the principles and objectives of this policy. </w:t>
      </w:r>
      <w:r w:rsidDel="00000000" w:rsidR="00000000" w:rsidRPr="00000000">
        <w:rPr>
          <w:rFonts w:ascii="Calibri" w:cs="Calibri" w:eastAsia="Calibri" w:hAnsi="Calibri"/>
          <w:rtl w:val="0"/>
        </w:rPr>
        <w:t xml:space="preserve">UCC</w:t>
      </w:r>
      <w:r w:rsidDel="00000000" w:rsidR="00000000" w:rsidRPr="00000000">
        <w:rPr>
          <w:rFonts w:ascii="Calibri" w:cs="Calibri" w:eastAsia="Calibri" w:hAnsi="Calibri"/>
          <w:vertAlign w:val="baseline"/>
          <w:rtl w:val="0"/>
        </w:rPr>
        <w:t xml:space="preserve"> delegates to the fund manager all reasonable investment decisions within this policy, including for example currency exposure, liquidity requirements and institutional credit rating policy.</w:t>
      </w:r>
    </w:p>
    <w:p w:rsidR="00000000" w:rsidDel="00000000" w:rsidP="00000000" w:rsidRDefault="00000000" w:rsidRPr="00000000" w14:paraId="0000001D">
      <w:pPr>
        <w:rPr>
          <w:rFonts w:ascii="Calibri" w:cs="Calibri" w:eastAsia="Calibri" w:hAnsi="Calibri"/>
          <w:b w:val="1"/>
        </w:rPr>
      </w:pPr>
      <w:r w:rsidDel="00000000" w:rsidR="00000000" w:rsidRPr="00000000">
        <w:rPr>
          <w:rtl w:val="0"/>
        </w:rPr>
      </w:r>
    </w:p>
    <w:p w:rsidR="00000000" w:rsidDel="00000000" w:rsidP="00000000" w:rsidRDefault="00000000" w:rsidRPr="00000000" w14:paraId="0000001E">
      <w:pPr>
        <w:rPr>
          <w:rFonts w:ascii="Calibri" w:cs="Calibri" w:eastAsia="Calibri" w:hAnsi="Calibri"/>
          <w:b w:val="1"/>
        </w:rPr>
      </w:pPr>
      <w:r w:rsidDel="00000000" w:rsidR="00000000" w:rsidRPr="00000000">
        <w:rPr>
          <w:rFonts w:ascii="Calibri" w:cs="Calibri" w:eastAsia="Calibri" w:hAnsi="Calibri"/>
          <w:b w:val="1"/>
          <w:rtl w:val="0"/>
        </w:rPr>
        <w:t xml:space="preserve">Accounts and Sub-Accounts</w:t>
      </w:r>
    </w:p>
    <w:p w:rsidR="00000000" w:rsidDel="00000000" w:rsidP="00000000" w:rsidRDefault="00000000" w:rsidRPr="00000000" w14:paraId="0000001F">
      <w:pPr>
        <w:rPr>
          <w:rFonts w:ascii="Calibri" w:cs="Calibri" w:eastAsia="Calibri" w:hAnsi="Calibri"/>
        </w:rPr>
      </w:pPr>
      <w:r w:rsidDel="00000000" w:rsidR="00000000" w:rsidRPr="00000000">
        <w:rPr>
          <w:rFonts w:ascii="Calibri" w:cs="Calibri" w:eastAsia="Calibri" w:hAnsi="Calibri"/>
          <w:rtl w:val="0"/>
        </w:rPr>
        <w:t xml:space="preserve">UCC operates a range of accounts and/or sub-accounts for specific portions of its overall investment portfolio in accordance with its governance scheme documents and expressed wishes of the original donors.</w:t>
      </w:r>
    </w:p>
    <w:p w:rsidR="00000000" w:rsidDel="00000000" w:rsidP="00000000" w:rsidRDefault="00000000" w:rsidRPr="00000000" w14:paraId="00000020">
      <w:pPr>
        <w:rPr>
          <w:rFonts w:ascii="Calibri" w:cs="Calibri" w:eastAsia="Calibri" w:hAnsi="Calibri"/>
        </w:rPr>
      </w:pPr>
      <w:r w:rsidDel="00000000" w:rsidR="00000000" w:rsidRPr="00000000">
        <w:rPr>
          <w:rtl w:val="0"/>
        </w:rPr>
      </w:r>
    </w:p>
    <w:p w:rsidR="00000000" w:rsidDel="00000000" w:rsidP="00000000" w:rsidRDefault="00000000" w:rsidRPr="00000000" w14:paraId="00000021">
      <w:pPr>
        <w:rPr>
          <w:rFonts w:ascii="Calibri" w:cs="Calibri" w:eastAsia="Calibri" w:hAnsi="Calibri"/>
          <w:b w:val="1"/>
          <w:vertAlign w:val="baseline"/>
        </w:rPr>
      </w:pPr>
      <w:r w:rsidDel="00000000" w:rsidR="00000000" w:rsidRPr="00000000">
        <w:rPr>
          <w:rFonts w:ascii="Calibri" w:cs="Calibri" w:eastAsia="Calibri" w:hAnsi="Calibri"/>
          <w:b w:val="1"/>
          <w:vertAlign w:val="baseline"/>
          <w:rtl w:val="0"/>
        </w:rPr>
        <w:t xml:space="preserve">Performance  and Cost </w:t>
      </w:r>
      <w:r w:rsidDel="00000000" w:rsidR="00000000" w:rsidRPr="00000000">
        <w:rPr>
          <w:rFonts w:ascii="Calibri" w:cs="Calibri" w:eastAsia="Calibri" w:hAnsi="Calibri"/>
          <w:b w:val="1"/>
          <w:rtl w:val="0"/>
        </w:rPr>
        <w:t xml:space="preserve">M</w:t>
      </w:r>
      <w:r w:rsidDel="00000000" w:rsidR="00000000" w:rsidRPr="00000000">
        <w:rPr>
          <w:rFonts w:ascii="Calibri" w:cs="Calibri" w:eastAsia="Calibri" w:hAnsi="Calibri"/>
          <w:b w:val="1"/>
          <w:vertAlign w:val="baseline"/>
          <w:rtl w:val="0"/>
        </w:rPr>
        <w:t xml:space="preserve">onitoring</w:t>
      </w:r>
    </w:p>
    <w:p w:rsidR="00000000" w:rsidDel="00000000" w:rsidP="00000000" w:rsidRDefault="00000000" w:rsidRPr="00000000" w14:paraId="00000022">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annual performance of the investments will be measured against the set objectives. A performance review of the Charity’s investments set against its peers will be undertaken annually. A Benchmark is an independent measure of change in value in a particular asset class and the performance of the securities will be measured quarterly by a composite index.</w:t>
      </w:r>
    </w:p>
    <w:p w:rsidR="00000000" w:rsidDel="00000000" w:rsidP="00000000" w:rsidRDefault="00000000" w:rsidRPr="00000000" w14:paraId="00000023">
      <w:pPr>
        <w:rPr>
          <w:rFonts w:ascii="Calibri" w:cs="Calibri" w:eastAsia="Calibri" w:hAnsi="Calibri"/>
        </w:rPr>
      </w:pPr>
      <w:r w:rsidDel="00000000" w:rsidR="00000000" w:rsidRPr="00000000">
        <w:rPr>
          <w:rFonts w:ascii="Calibri" w:cs="Calibri" w:eastAsia="Calibri" w:hAnsi="Calibri"/>
          <w:rtl w:val="0"/>
        </w:rPr>
        <w:t xml:space="preserve">Cost is a vital determinant of long term return achieved by UCC. Therefore UCC monitors the cost incurred by the fund manager prior to manager selection and subsequently on a regular basis. </w:t>
      </w:r>
    </w:p>
    <w:p w:rsidR="00000000" w:rsidDel="00000000" w:rsidP="00000000" w:rsidRDefault="00000000" w:rsidRPr="00000000" w14:paraId="00000024">
      <w:pPr>
        <w:rPr>
          <w:rFonts w:ascii="Calibri" w:cs="Calibri" w:eastAsia="Calibri" w:hAnsi="Calibri"/>
        </w:rPr>
      </w:pPr>
      <w:r w:rsidDel="00000000" w:rsidR="00000000" w:rsidRPr="00000000">
        <w:rPr>
          <w:rtl w:val="0"/>
        </w:rPr>
      </w:r>
    </w:p>
    <w:p w:rsidR="00000000" w:rsidDel="00000000" w:rsidP="00000000" w:rsidRDefault="00000000" w:rsidRPr="00000000" w14:paraId="00000025">
      <w:pPr>
        <w:rPr>
          <w:rFonts w:ascii="Calibri" w:cs="Calibri" w:eastAsia="Calibri" w:hAnsi="Calibri"/>
          <w:b w:val="1"/>
        </w:rPr>
      </w:pPr>
      <w:r w:rsidDel="00000000" w:rsidR="00000000" w:rsidRPr="00000000">
        <w:rPr>
          <w:rFonts w:ascii="Calibri" w:cs="Calibri" w:eastAsia="Calibri" w:hAnsi="Calibri"/>
          <w:b w:val="1"/>
          <w:rtl w:val="0"/>
        </w:rPr>
        <w:t xml:space="preserve">Estate Agents</w:t>
      </w:r>
    </w:p>
    <w:p w:rsidR="00000000" w:rsidDel="00000000" w:rsidP="00000000" w:rsidRDefault="00000000" w:rsidRPr="00000000" w14:paraId="00000026">
      <w:pPr>
        <w:rPr>
          <w:rFonts w:ascii="Calibri" w:cs="Calibri" w:eastAsia="Calibri" w:hAnsi="Calibri"/>
        </w:rPr>
      </w:pPr>
      <w:r w:rsidDel="00000000" w:rsidR="00000000" w:rsidRPr="00000000">
        <w:rPr>
          <w:rFonts w:ascii="Calibri" w:cs="Calibri" w:eastAsia="Calibri" w:hAnsi="Calibri"/>
          <w:rtl w:val="0"/>
        </w:rPr>
        <w:t xml:space="preserve">The appointed estate agents manage the UCC’s properties according to the contracts. They deal with maintenance issues, tenancy renewals, rent collection and onward transmission of rent to UCC. </w:t>
      </w:r>
    </w:p>
    <w:p w:rsidR="00000000" w:rsidDel="00000000" w:rsidP="00000000" w:rsidRDefault="00000000" w:rsidRPr="00000000" w14:paraId="00000027">
      <w:pPr>
        <w:rPr>
          <w:rFonts w:ascii="Calibri" w:cs="Calibri" w:eastAsia="Calibri" w:hAnsi="Calibri"/>
        </w:rPr>
      </w:pPr>
      <w:r w:rsidDel="00000000" w:rsidR="00000000" w:rsidRPr="00000000">
        <w:rPr>
          <w:rtl w:val="0"/>
        </w:rPr>
      </w:r>
    </w:p>
    <w:p w:rsidR="00000000" w:rsidDel="00000000" w:rsidP="00000000" w:rsidRDefault="00000000" w:rsidRPr="00000000" w14:paraId="00000028">
      <w:pPr>
        <w:rPr>
          <w:rFonts w:ascii="Calibri" w:cs="Calibri" w:eastAsia="Calibri" w:hAnsi="Calibri"/>
          <w:b w:val="1"/>
        </w:rPr>
      </w:pPr>
      <w:r w:rsidDel="00000000" w:rsidR="00000000" w:rsidRPr="00000000">
        <w:rPr>
          <w:rFonts w:ascii="Calibri" w:cs="Calibri" w:eastAsia="Calibri" w:hAnsi="Calibri"/>
          <w:b w:val="1"/>
          <w:rtl w:val="0"/>
        </w:rPr>
        <w:t xml:space="preserve">Review and Change of Fund Manager and Estate Agents</w:t>
      </w:r>
    </w:p>
    <w:p w:rsidR="00000000" w:rsidDel="00000000" w:rsidP="00000000" w:rsidRDefault="00000000" w:rsidRPr="00000000" w14:paraId="00000029">
      <w:pPr>
        <w:rPr>
          <w:rFonts w:ascii="Calibri" w:cs="Calibri" w:eastAsia="Calibri" w:hAnsi="Calibri"/>
        </w:rPr>
      </w:pPr>
      <w:r w:rsidDel="00000000" w:rsidR="00000000" w:rsidRPr="00000000">
        <w:rPr>
          <w:rFonts w:ascii="Calibri" w:cs="Calibri" w:eastAsia="Calibri" w:hAnsi="Calibri"/>
          <w:rtl w:val="0"/>
        </w:rPr>
        <w:t xml:space="preserve">Every three years the board reviews the performance and overall relationship with the fund manager and the estate agents. The board of trustees</w:t>
      </w:r>
      <w:r w:rsidDel="00000000" w:rsidR="00000000" w:rsidRPr="00000000">
        <w:rPr>
          <w:rFonts w:ascii="Calibri" w:cs="Calibri" w:eastAsia="Calibri" w:hAnsi="Calibri"/>
          <w:rtl w:val="0"/>
        </w:rPr>
        <w:t xml:space="preserve"> can initiate  a change at its discretion. When a change is undertaken, a new manager or agent is chosen following an open and competitive process where all decisions are discussed at the Resources Committee and/or the Board meeting and documented.</w:t>
      </w:r>
    </w:p>
    <w:p w:rsidR="00000000" w:rsidDel="00000000" w:rsidP="00000000" w:rsidRDefault="00000000" w:rsidRPr="00000000" w14:paraId="0000002A">
      <w:pPr>
        <w:rPr>
          <w:rFonts w:ascii="Calibri" w:cs="Calibri" w:eastAsia="Calibri" w:hAnsi="Calibri"/>
        </w:rPr>
      </w:pPr>
      <w:r w:rsidDel="00000000" w:rsidR="00000000" w:rsidRPr="00000000">
        <w:rPr>
          <w:rtl w:val="0"/>
        </w:rPr>
      </w:r>
    </w:p>
    <w:p w:rsidR="00000000" w:rsidDel="00000000" w:rsidP="00000000" w:rsidRDefault="00000000" w:rsidRPr="00000000" w14:paraId="0000002B">
      <w:pPr>
        <w:rPr>
          <w:rFonts w:ascii="Calibri" w:cs="Calibri" w:eastAsia="Calibri" w:hAnsi="Calibri"/>
        </w:rPr>
      </w:pPr>
      <w:r w:rsidDel="00000000" w:rsidR="00000000" w:rsidRPr="00000000">
        <w:rPr>
          <w:rtl w:val="0"/>
        </w:rPr>
      </w:r>
    </w:p>
    <w:p w:rsidR="00000000" w:rsidDel="00000000" w:rsidP="00000000" w:rsidRDefault="00000000" w:rsidRPr="00000000" w14:paraId="0000002C">
      <w:pPr>
        <w:spacing w:after="240" w:before="240" w:lineRule="auto"/>
        <w:rPr>
          <w:rFonts w:ascii="Calibri" w:cs="Calibri" w:eastAsia="Calibri" w:hAnsi="Calibri"/>
          <w:b w:val="1"/>
        </w:rPr>
      </w:pPr>
      <w:r w:rsidDel="00000000" w:rsidR="00000000" w:rsidRPr="00000000">
        <w:rPr>
          <w:rFonts w:ascii="Calibri" w:cs="Calibri" w:eastAsia="Calibri" w:hAnsi="Calibri"/>
          <w:b w:val="1"/>
          <w:rtl w:val="0"/>
        </w:rPr>
        <w:t xml:space="preserve">Adopted 30 June 2023 by the Board of Trustees, next scheduled review 30 June 2026</w:t>
      </w:r>
    </w:p>
    <w:p w:rsidR="00000000" w:rsidDel="00000000" w:rsidP="00000000" w:rsidRDefault="00000000" w:rsidRPr="00000000" w14:paraId="0000002D">
      <w:pPr>
        <w:rPr>
          <w:rFonts w:ascii="Calibri" w:cs="Calibri" w:eastAsia="Calibri" w:hAnsi="Calibri"/>
        </w:rPr>
      </w:pPr>
      <w:r w:rsidDel="00000000" w:rsidR="00000000" w:rsidRPr="00000000">
        <w:rPr>
          <w:rtl w:val="0"/>
        </w:rPr>
      </w:r>
    </w:p>
    <w:p w:rsidR="00000000" w:rsidDel="00000000" w:rsidP="00000000" w:rsidRDefault="00000000" w:rsidRPr="00000000" w14:paraId="0000002E">
      <w:pPr>
        <w:rPr>
          <w:rFonts w:ascii="Calibri" w:cs="Calibri" w:eastAsia="Calibri" w:hAnsi="Calibri"/>
        </w:rPr>
      </w:pPr>
      <w:r w:rsidDel="00000000" w:rsidR="00000000" w:rsidRPr="00000000">
        <w:rPr>
          <w:rtl w:val="0"/>
        </w:rPr>
      </w:r>
    </w:p>
    <w:sectPr>
      <w:footerReference r:id="rId6" w:type="default"/>
      <w:pgSz w:h="16838" w:w="11906" w:orient="portrait"/>
      <w:pgMar w:bottom="850.3937007874016" w:top="1700.7874015748032" w:left="850.3937007874016" w:right="850.3937007874016"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rPr/>
    </w:pPr>
    <w:r w:rsidDel="00000000" w:rsidR="00000000" w:rsidRPr="00000000">
      <w:rPr>
        <w:rFonts w:ascii="Calibri" w:cs="Calibri" w:eastAsia="Calibri" w:hAnsi="Calibri"/>
        <w:sz w:val="22"/>
        <w:szCs w:val="22"/>
        <w:rtl w:val="0"/>
      </w:rPr>
      <w:t xml:space="preserve">This Version: Hai Xin, 20/02/2023</w:t>
      <w:tab/>
    </w:r>
    <w:r w:rsidDel="00000000" w:rsidR="00000000" w:rsidRPr="00000000">
      <w:rPr>
        <w:rtl w:val="0"/>
      </w:rPr>
      <w:tab/>
      <w:tab/>
      <w:tab/>
      <w:tab/>
      <w:tab/>
      <w:tab/>
      <w:tab/>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